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7EDED" w14:textId="77777777" w:rsidR="00C76D23" w:rsidRPr="00046C58" w:rsidRDefault="00046C58">
      <w:pPr>
        <w:rPr>
          <w:b/>
          <w:sz w:val="72"/>
        </w:rPr>
      </w:pPr>
      <w:r w:rsidRPr="00046C58">
        <w:rPr>
          <w:b/>
          <w:sz w:val="72"/>
        </w:rPr>
        <w:t xml:space="preserve">UASG </w:t>
      </w:r>
      <w:bookmarkStart w:id="0" w:name="_GoBack"/>
      <w:bookmarkEnd w:id="0"/>
    </w:p>
    <w:p w14:paraId="646F45C8" w14:textId="77777777" w:rsidR="00046C58" w:rsidRDefault="00046C58">
      <w:r>
        <w:t>Budget Proposal – 2015/16</w:t>
      </w:r>
    </w:p>
    <w:p w14:paraId="76B27D0A" w14:textId="3873E9BC" w:rsidR="00084D66" w:rsidRPr="00084D66" w:rsidRDefault="00084D66" w:rsidP="00084D66">
      <w:pPr>
        <w:jc w:val="right"/>
        <w:rPr>
          <w:i/>
        </w:rPr>
      </w:pPr>
      <w:r w:rsidRPr="00084D66">
        <w:rPr>
          <w:i/>
        </w:rPr>
        <w:t>Version 2015-05-14</w:t>
      </w:r>
    </w:p>
    <w:p w14:paraId="1BD4FBB3" w14:textId="77777777" w:rsidR="00046C58" w:rsidRDefault="00046C58"/>
    <w:p w14:paraId="54C8C709" w14:textId="77777777" w:rsidR="00046C58" w:rsidRDefault="00046C58">
      <w:r>
        <w:t xml:space="preserve">Universal Acceptance is the concept that all domain names should be treated equally.  </w:t>
      </w:r>
    </w:p>
    <w:p w14:paraId="35888946" w14:textId="77777777" w:rsidR="00046C58" w:rsidRDefault="00046C58"/>
    <w:p w14:paraId="52071693" w14:textId="77777777" w:rsidR="00046C58" w:rsidRDefault="00046C58">
      <w:r>
        <w:t>Domain names and e-mail addresses should be Accepted, Stored, Processed and Displayed in a consistent and effective manner.</w:t>
      </w:r>
    </w:p>
    <w:p w14:paraId="74F9DE90" w14:textId="77777777" w:rsidR="00046C58" w:rsidRDefault="00046C58"/>
    <w:p w14:paraId="30DC405C" w14:textId="77777777" w:rsidR="00046C58" w:rsidRDefault="00046C58">
      <w:r>
        <w:t xml:space="preserve">Many systems still assume that domain names (and associated e-mail addresses) are only available in ASCII and that Top Level domain names are restricted </w:t>
      </w:r>
      <w:proofErr w:type="gramStart"/>
      <w:r>
        <w:t>to a well-defined and constant two or three characters</w:t>
      </w:r>
      <w:proofErr w:type="gramEnd"/>
      <w:r>
        <w:t>.   Since the introduction of IDN ccTLDs in 2010 and the most recent wave of new gTLDs in 2013, this is no longer the case.</w:t>
      </w:r>
    </w:p>
    <w:p w14:paraId="0C9DE19E" w14:textId="77777777" w:rsidR="00046C58" w:rsidRDefault="00046C58"/>
    <w:p w14:paraId="5BA474E2" w14:textId="77777777" w:rsidR="00084D66" w:rsidRDefault="00046C58">
      <w:r>
        <w:t xml:space="preserve">In February 2015 the community created the Universal Acceptance Steering Group that is being supported by ICANN.  </w:t>
      </w:r>
      <w:proofErr w:type="gramStart"/>
      <w:r>
        <w:t>The group is chaired by Ram Mohan</w:t>
      </w:r>
      <w:proofErr w:type="gramEnd"/>
      <w:r>
        <w:t xml:space="preserve"> and the vice-chairs are </w:t>
      </w:r>
      <w:proofErr w:type="spellStart"/>
      <w:r>
        <w:t>Edmon</w:t>
      </w:r>
      <w:proofErr w:type="spellEnd"/>
      <w:r>
        <w:t xml:space="preserve"> Chung, Christian Dawson and Rich </w:t>
      </w:r>
      <w:proofErr w:type="spellStart"/>
      <w:r>
        <w:t>Merdinger</w:t>
      </w:r>
      <w:proofErr w:type="spellEnd"/>
      <w:r>
        <w:t xml:space="preserve">.  </w:t>
      </w:r>
    </w:p>
    <w:p w14:paraId="5888CB02" w14:textId="77777777" w:rsidR="00084D66" w:rsidRDefault="00084D66"/>
    <w:p w14:paraId="1FE515DC" w14:textId="6156FB93" w:rsidR="00046C58" w:rsidRDefault="00046C58">
      <w:r>
        <w:t>There are four</w:t>
      </w:r>
      <w:r w:rsidR="00084D66">
        <w:t xml:space="preserve"> Project Groups within the UASG:</w:t>
      </w:r>
    </w:p>
    <w:p w14:paraId="5B68DF9A" w14:textId="659514B9" w:rsidR="00084D66" w:rsidRDefault="00084D66" w:rsidP="00084D66">
      <w:pPr>
        <w:pStyle w:val="ListParagraph"/>
        <w:numPr>
          <w:ilvl w:val="0"/>
          <w:numId w:val="3"/>
        </w:numPr>
      </w:pPr>
      <w:r>
        <w:t>Topline and Technical Issues</w:t>
      </w:r>
    </w:p>
    <w:p w14:paraId="60FE0E11" w14:textId="78284A41" w:rsidR="00084D66" w:rsidRDefault="00084D66" w:rsidP="00084D66">
      <w:pPr>
        <w:pStyle w:val="ListParagraph"/>
        <w:numPr>
          <w:ilvl w:val="0"/>
          <w:numId w:val="3"/>
        </w:numPr>
      </w:pPr>
      <w:r>
        <w:t>International</w:t>
      </w:r>
    </w:p>
    <w:p w14:paraId="4D3EAAB9" w14:textId="1CA19F31" w:rsidR="00084D66" w:rsidRDefault="00084D66" w:rsidP="00084D66">
      <w:pPr>
        <w:pStyle w:val="ListParagraph"/>
        <w:numPr>
          <w:ilvl w:val="0"/>
          <w:numId w:val="3"/>
        </w:numPr>
      </w:pPr>
      <w:r>
        <w:t>Measurement and Monitoring</w:t>
      </w:r>
    </w:p>
    <w:p w14:paraId="3CB591A8" w14:textId="7F64E760" w:rsidR="00084D66" w:rsidRDefault="00084D66" w:rsidP="00084D66">
      <w:pPr>
        <w:pStyle w:val="ListParagraph"/>
        <w:numPr>
          <w:ilvl w:val="0"/>
          <w:numId w:val="3"/>
        </w:numPr>
      </w:pPr>
      <w:r>
        <w:t>Community Outreach</w:t>
      </w:r>
    </w:p>
    <w:p w14:paraId="328459E3" w14:textId="77777777" w:rsidR="00046C58" w:rsidRDefault="00046C58">
      <w:pPr>
        <w:rPr>
          <w:i/>
        </w:rPr>
      </w:pPr>
    </w:p>
    <w:p w14:paraId="052CA299" w14:textId="66E8D843" w:rsidR="00046C58" w:rsidRPr="00084D66" w:rsidRDefault="00084D66">
      <w:r w:rsidRPr="00084D66">
        <w:t>The following are budget proposals received so far.  Many of these will cross over among the various groups.</w:t>
      </w:r>
    </w:p>
    <w:p w14:paraId="518AEE98" w14:textId="77777777" w:rsidR="00084D66" w:rsidRDefault="00084D66">
      <w:pPr>
        <w:rPr>
          <w:rFonts w:ascii="Verdana" w:hAnsi="Verdana" w:cs="Verdana"/>
          <w:sz w:val="28"/>
          <w:szCs w:val="28"/>
        </w:rPr>
      </w:pPr>
    </w:p>
    <w:p w14:paraId="6D468E60" w14:textId="77777777" w:rsidR="00084D66" w:rsidRDefault="00084D66">
      <w:pPr>
        <w:rPr>
          <w:i/>
        </w:rPr>
      </w:pPr>
    </w:p>
    <w:p w14:paraId="1C667A03" w14:textId="77777777" w:rsidR="00046C58" w:rsidRDefault="00046C58"/>
    <w:tbl>
      <w:tblPr>
        <w:tblStyle w:val="TableGrid"/>
        <w:tblW w:w="0" w:type="auto"/>
        <w:tblLook w:val="04A0" w:firstRow="1" w:lastRow="0" w:firstColumn="1" w:lastColumn="0" w:noHBand="0" w:noVBand="1"/>
      </w:tblPr>
      <w:tblGrid>
        <w:gridCol w:w="1028"/>
        <w:gridCol w:w="6304"/>
        <w:gridCol w:w="1184"/>
      </w:tblGrid>
      <w:tr w:rsidR="00E70078" w14:paraId="17EC0B78" w14:textId="77777777" w:rsidTr="00E70078">
        <w:tc>
          <w:tcPr>
            <w:tcW w:w="0" w:type="auto"/>
          </w:tcPr>
          <w:p w14:paraId="3BDF0BA7" w14:textId="3C4CFCD2" w:rsidR="00E70078" w:rsidRPr="00046C58" w:rsidRDefault="00E70078" w:rsidP="00E70078">
            <w:pPr>
              <w:rPr>
                <w:b/>
              </w:rPr>
            </w:pPr>
            <w:proofErr w:type="spellStart"/>
            <w:r>
              <w:rPr>
                <w:b/>
              </w:rPr>
              <w:t>Comms</w:t>
            </w:r>
            <w:proofErr w:type="spellEnd"/>
          </w:p>
          <w:p w14:paraId="7E5160B6" w14:textId="77777777" w:rsidR="00E70078" w:rsidRDefault="00E70078"/>
        </w:tc>
        <w:tc>
          <w:tcPr>
            <w:tcW w:w="0" w:type="auto"/>
          </w:tcPr>
          <w:p w14:paraId="38F37DAE" w14:textId="237B24F9" w:rsidR="00E70078" w:rsidRDefault="00E70078" w:rsidP="00E70078">
            <w:r>
              <w:t>Raising Awareness among technical groups</w:t>
            </w:r>
            <w:r w:rsidR="004A6CF1">
              <w:t>, Industry groups and software developers</w:t>
            </w:r>
          </w:p>
          <w:p w14:paraId="70293F45" w14:textId="77777777" w:rsidR="00E70078" w:rsidRPr="004A6CF1" w:rsidRDefault="00E70078" w:rsidP="00E70078">
            <w:pPr>
              <w:rPr>
                <w:u w:val="single"/>
              </w:rPr>
            </w:pPr>
            <w:r w:rsidRPr="004A6CF1">
              <w:rPr>
                <w:u w:val="single"/>
              </w:rPr>
              <w:t>Presentation at Conferences</w:t>
            </w:r>
          </w:p>
          <w:p w14:paraId="796D29B5" w14:textId="77777777" w:rsidR="00E70078" w:rsidRDefault="00E70078" w:rsidP="00E70078">
            <w:r>
              <w:t>The UASG will raise awareness of the UA issues at 150 technical conferences during the year reaching more than 100,000 technical people around the world.  UA Ambassadors, people well briefed on UA issues, will present based on a standard UA presentation set.   Every opportunity will be made to take advantage of UA Ambassadors already attending an event, but it’s envisioned that up to 30% of the technical conferences may require funds for UA Ambassadors to travel or funds for sponsorship to get onto the conference agenda.</w:t>
            </w:r>
          </w:p>
          <w:p w14:paraId="12F833E2" w14:textId="77777777" w:rsidR="00E70078" w:rsidRDefault="00E70078"/>
        </w:tc>
        <w:tc>
          <w:tcPr>
            <w:tcW w:w="0" w:type="auto"/>
          </w:tcPr>
          <w:p w14:paraId="56EB320D" w14:textId="77777777" w:rsidR="00E70078" w:rsidRDefault="00E70078"/>
        </w:tc>
      </w:tr>
      <w:tr w:rsidR="00E70078" w14:paraId="6B774235" w14:textId="77777777" w:rsidTr="00E70078">
        <w:tc>
          <w:tcPr>
            <w:tcW w:w="0" w:type="auto"/>
          </w:tcPr>
          <w:p w14:paraId="69EC74C6" w14:textId="3F965804" w:rsidR="00E70078" w:rsidRDefault="00E70078" w:rsidP="00E70078">
            <w:r>
              <w:rPr>
                <w:b/>
              </w:rPr>
              <w:t>M&amp;M</w:t>
            </w:r>
          </w:p>
          <w:p w14:paraId="5580BFE7" w14:textId="77777777" w:rsidR="00E70078" w:rsidRDefault="00E70078"/>
        </w:tc>
        <w:tc>
          <w:tcPr>
            <w:tcW w:w="0" w:type="auto"/>
          </w:tcPr>
          <w:p w14:paraId="671B9765" w14:textId="77777777" w:rsidR="00E70078" w:rsidRPr="00084D66" w:rsidRDefault="00E70078" w:rsidP="00E70078">
            <w:r w:rsidRPr="00084D66">
              <w:t>Monitoring the degree of UA Readiness</w:t>
            </w:r>
          </w:p>
          <w:p w14:paraId="288BEEAF" w14:textId="77777777" w:rsidR="00E70078" w:rsidRPr="00084D66" w:rsidRDefault="00E70078" w:rsidP="00E70078">
            <w:pPr>
              <w:rPr>
                <w:u w:val="single"/>
              </w:rPr>
            </w:pPr>
            <w:r w:rsidRPr="00084D66">
              <w:rPr>
                <w:u w:val="single"/>
              </w:rPr>
              <w:t>Testing the Top 100</w:t>
            </w:r>
          </w:p>
          <w:p w14:paraId="1B50861E" w14:textId="36F8C631" w:rsidR="00E70078" w:rsidRDefault="00E70078" w:rsidP="00E70078">
            <w:r>
              <w:t xml:space="preserve">This project will contract with a professional software testing organization to review the top 100 websites, browsers and </w:t>
            </w:r>
            <w:r w:rsidR="00084D66">
              <w:t>operating systems</w:t>
            </w:r>
            <w:r>
              <w:t xml:space="preserve"> to determine if they are UA </w:t>
            </w:r>
            <w:r>
              <w:lastRenderedPageBreak/>
              <w:t>Ready – able to accept, validate, and display e-mail addresses and domain names as expected.  This exercise will be repeated every six months so that progress can be monitored.  As UA Readiness is achieved, the scope may expand to include the top 100 non-compliant entities.</w:t>
            </w:r>
          </w:p>
          <w:p w14:paraId="7B35FEDE" w14:textId="77777777" w:rsidR="00E70078" w:rsidRDefault="00E70078" w:rsidP="00E70078"/>
          <w:p w14:paraId="617F7FE9" w14:textId="77777777" w:rsidR="00E70078" w:rsidRDefault="00E70078" w:rsidP="00E70078">
            <w:r>
              <w:t>The results will also be used to reach out to the top 100 non-compliant entities and urge their taking steps to remedy the situation.</w:t>
            </w:r>
          </w:p>
          <w:p w14:paraId="5BA078F3" w14:textId="77777777" w:rsidR="00450F91" w:rsidRDefault="00450F91" w:rsidP="00E70078"/>
          <w:p w14:paraId="364CEEA0" w14:textId="19BA78B3" w:rsidR="00450F91" w:rsidRDefault="00450F91" w:rsidP="00E70078">
            <w:r>
              <w:t xml:space="preserve">The Testing script and criteria for the selection of the websites and software will be developed by the </w:t>
            </w:r>
            <w:r w:rsidR="00084D66">
              <w:t>UASG</w:t>
            </w:r>
            <w:r>
              <w:t>.  Test</w:t>
            </w:r>
            <w:r w:rsidR="00084D66">
              <w:t>s</w:t>
            </w:r>
            <w:r>
              <w:t xml:space="preserve"> will include a variety of new gTLDs [various lengths], recent gTLDs [the dynamic nature of any validation tables used], IDNs and Right-to-left TLDs.</w:t>
            </w:r>
          </w:p>
          <w:p w14:paraId="474EDB6E" w14:textId="77777777" w:rsidR="00E70078" w:rsidRDefault="00E70078"/>
        </w:tc>
        <w:tc>
          <w:tcPr>
            <w:tcW w:w="0" w:type="auto"/>
          </w:tcPr>
          <w:p w14:paraId="3744F4FC" w14:textId="77777777" w:rsidR="00E70078" w:rsidRDefault="00E70078"/>
        </w:tc>
      </w:tr>
      <w:tr w:rsidR="00E70078" w14:paraId="350F3079" w14:textId="77777777" w:rsidTr="00E70078">
        <w:tc>
          <w:tcPr>
            <w:tcW w:w="0" w:type="auto"/>
          </w:tcPr>
          <w:p w14:paraId="62CBD437" w14:textId="0191739D" w:rsidR="00E70078" w:rsidRDefault="00E70078" w:rsidP="00E70078">
            <w:pPr>
              <w:rPr>
                <w:b/>
              </w:rPr>
            </w:pPr>
            <w:r>
              <w:rPr>
                <w:b/>
              </w:rPr>
              <w:lastRenderedPageBreak/>
              <w:t>T&amp;T</w:t>
            </w:r>
          </w:p>
          <w:p w14:paraId="44C8B50C" w14:textId="417608F6" w:rsidR="00E70078" w:rsidRDefault="00E70078" w:rsidP="00E70078">
            <w:pPr>
              <w:rPr>
                <w:b/>
              </w:rPr>
            </w:pPr>
            <w:proofErr w:type="spellStart"/>
            <w:r>
              <w:rPr>
                <w:b/>
              </w:rPr>
              <w:t>Intn’l</w:t>
            </w:r>
            <w:proofErr w:type="spellEnd"/>
          </w:p>
          <w:p w14:paraId="3A27C71B" w14:textId="230E26D6" w:rsidR="00084D66" w:rsidRDefault="00084D66" w:rsidP="00E70078">
            <w:proofErr w:type="spellStart"/>
            <w:r>
              <w:rPr>
                <w:b/>
              </w:rPr>
              <w:t>Comms</w:t>
            </w:r>
            <w:proofErr w:type="spellEnd"/>
          </w:p>
          <w:p w14:paraId="5933E337" w14:textId="77777777" w:rsidR="00E70078" w:rsidRDefault="00E70078"/>
        </w:tc>
        <w:tc>
          <w:tcPr>
            <w:tcW w:w="0" w:type="auto"/>
          </w:tcPr>
          <w:p w14:paraId="6876F7BE" w14:textId="77777777" w:rsidR="00E70078" w:rsidRPr="00F452E8" w:rsidRDefault="00E70078" w:rsidP="00E70078">
            <w:pPr>
              <w:rPr>
                <w:u w:val="single"/>
              </w:rPr>
            </w:pPr>
            <w:r w:rsidRPr="00F452E8">
              <w:rPr>
                <w:u w:val="single"/>
              </w:rPr>
              <w:t>Hack</w:t>
            </w:r>
            <w:r>
              <w:rPr>
                <w:u w:val="single"/>
              </w:rPr>
              <w:t>-</w:t>
            </w:r>
            <w:r w:rsidRPr="00F452E8">
              <w:rPr>
                <w:u w:val="single"/>
              </w:rPr>
              <w:t>a</w:t>
            </w:r>
            <w:r>
              <w:rPr>
                <w:u w:val="single"/>
              </w:rPr>
              <w:t>-</w:t>
            </w:r>
            <w:r w:rsidRPr="00F452E8">
              <w:rPr>
                <w:u w:val="single"/>
              </w:rPr>
              <w:t>thon</w:t>
            </w:r>
          </w:p>
          <w:p w14:paraId="370B2E88" w14:textId="77777777" w:rsidR="00E70078" w:rsidRDefault="00E70078" w:rsidP="00E70078">
            <w:r>
              <w:t xml:space="preserve">This project will organize one ‘hack-a-thon’ in India in the fourth quarter of 2015, where a group of programmers will be brought together to develop domain name and e-mail validation routines in a wide variety of languages.   </w:t>
            </w:r>
          </w:p>
          <w:p w14:paraId="4304F092" w14:textId="77777777" w:rsidR="00E70078" w:rsidRDefault="00E70078" w:rsidP="00E70078"/>
          <w:p w14:paraId="1D26129A" w14:textId="77777777" w:rsidR="00450F91" w:rsidRDefault="00E70078" w:rsidP="00E70078">
            <w:r>
              <w:t>The objects are to</w:t>
            </w:r>
            <w:r w:rsidR="00450F91">
              <w:t>:</w:t>
            </w:r>
            <w:r>
              <w:t xml:space="preserve"> </w:t>
            </w:r>
          </w:p>
          <w:p w14:paraId="5A83970D" w14:textId="450E7191" w:rsidR="00450F91" w:rsidRDefault="00E70078" w:rsidP="00450F91">
            <w:pPr>
              <w:pStyle w:val="ListParagraph"/>
              <w:numPr>
                <w:ilvl w:val="0"/>
                <w:numId w:val="2"/>
              </w:numPr>
            </w:pPr>
            <w:proofErr w:type="gramStart"/>
            <w:r>
              <w:t>raise</w:t>
            </w:r>
            <w:proofErr w:type="gramEnd"/>
            <w:r>
              <w:t xml:space="preserve"> awareness of the issue among the technical community</w:t>
            </w:r>
          </w:p>
          <w:p w14:paraId="56279680" w14:textId="77777777" w:rsidR="00450F91" w:rsidRDefault="00E70078" w:rsidP="00450F91">
            <w:pPr>
              <w:pStyle w:val="ListParagraph"/>
              <w:numPr>
                <w:ilvl w:val="0"/>
                <w:numId w:val="2"/>
              </w:numPr>
            </w:pPr>
            <w:proofErr w:type="gramStart"/>
            <w:r>
              <w:t>raise</w:t>
            </w:r>
            <w:proofErr w:type="gramEnd"/>
            <w:r>
              <w:t xml:space="preserve"> awareness of the issue within India (a multi-script community) and </w:t>
            </w:r>
          </w:p>
          <w:p w14:paraId="661C755F" w14:textId="77777777" w:rsidR="00450F91" w:rsidRDefault="00E70078" w:rsidP="00450F91">
            <w:pPr>
              <w:pStyle w:val="ListParagraph"/>
              <w:numPr>
                <w:ilvl w:val="0"/>
                <w:numId w:val="2"/>
              </w:numPr>
            </w:pPr>
            <w:proofErr w:type="gramStart"/>
            <w:r>
              <w:t>develop</w:t>
            </w:r>
            <w:proofErr w:type="gramEnd"/>
            <w:r>
              <w:t xml:space="preserve"> solution librari</w:t>
            </w:r>
            <w:r w:rsidR="00450F91">
              <w:t>es that can be used by others.</w:t>
            </w:r>
          </w:p>
          <w:p w14:paraId="7CE4DD3A" w14:textId="77777777" w:rsidR="00AD044D" w:rsidRDefault="00AD044D" w:rsidP="00450F91"/>
          <w:p w14:paraId="06E3DFD3" w14:textId="7A337597" w:rsidR="00450F91" w:rsidRDefault="00AD044D" w:rsidP="00450F91">
            <w:r w:rsidRPr="00AD044D">
              <w:t xml:space="preserve">There are a handful of companies that could help us running it, </w:t>
            </w:r>
            <w:proofErr w:type="spellStart"/>
            <w:r w:rsidRPr="00AD044D">
              <w:t>Angelhack</w:t>
            </w:r>
            <w:proofErr w:type="spellEnd"/>
            <w:r w:rsidRPr="00AD044D">
              <w:t xml:space="preserve"> for example.</w:t>
            </w:r>
          </w:p>
          <w:p w14:paraId="23332A27" w14:textId="77777777" w:rsidR="00AD044D" w:rsidRDefault="00AD044D" w:rsidP="00450F91"/>
          <w:p w14:paraId="2F8DF0B9" w14:textId="003E0397" w:rsidR="00E70078" w:rsidRDefault="00E70078" w:rsidP="00450F91">
            <w:r>
              <w:t xml:space="preserve">Funds will be used for organization, promotion, logistics and prizes for participants.   This project will be co-funded by Verisign. </w:t>
            </w:r>
          </w:p>
          <w:p w14:paraId="7358C152" w14:textId="77777777" w:rsidR="00E70078" w:rsidRDefault="00E70078" w:rsidP="00E70078"/>
          <w:p w14:paraId="2EFD5802" w14:textId="77777777" w:rsidR="00E70078" w:rsidRDefault="00E70078" w:rsidP="00E70078">
            <w:r>
              <w:t>Success will be to get at least 100 participants delivery solutions in at least 40 different programming or scripting languages.</w:t>
            </w:r>
          </w:p>
          <w:p w14:paraId="21B518D0" w14:textId="77777777" w:rsidR="00E70078" w:rsidRDefault="00E70078"/>
          <w:p w14:paraId="35582CF9" w14:textId="77777777" w:rsidR="00084D66" w:rsidRDefault="00084D66">
            <w:r>
              <w:t>Detail objectives of library requirements will be developed by the UASG.</w:t>
            </w:r>
          </w:p>
          <w:p w14:paraId="36A0877A" w14:textId="3436CCB6" w:rsidR="00084D66" w:rsidRDefault="00084D66"/>
        </w:tc>
        <w:tc>
          <w:tcPr>
            <w:tcW w:w="0" w:type="auto"/>
          </w:tcPr>
          <w:p w14:paraId="477A2CA2" w14:textId="482609E3" w:rsidR="00E70078" w:rsidRDefault="00E70078">
            <w:r>
              <w:t>$100,000</w:t>
            </w:r>
          </w:p>
        </w:tc>
      </w:tr>
      <w:tr w:rsidR="00E70078" w14:paraId="62B40B9D" w14:textId="77777777" w:rsidTr="00E70078">
        <w:tc>
          <w:tcPr>
            <w:tcW w:w="0" w:type="auto"/>
          </w:tcPr>
          <w:p w14:paraId="5F986FE6" w14:textId="12C2118B" w:rsidR="00E70078" w:rsidRPr="00F452E8" w:rsidRDefault="00E70078" w:rsidP="00E70078">
            <w:pPr>
              <w:rPr>
                <w:b/>
              </w:rPr>
            </w:pPr>
            <w:r>
              <w:rPr>
                <w:b/>
              </w:rPr>
              <w:t>T&amp;T</w:t>
            </w:r>
          </w:p>
          <w:p w14:paraId="22C361D5" w14:textId="77777777" w:rsidR="00E70078" w:rsidRDefault="00E70078"/>
        </w:tc>
        <w:tc>
          <w:tcPr>
            <w:tcW w:w="0" w:type="auto"/>
          </w:tcPr>
          <w:p w14:paraId="2EA60EDA" w14:textId="77777777" w:rsidR="00E70078" w:rsidRPr="00F452E8" w:rsidRDefault="00E70078" w:rsidP="00E70078">
            <w:pPr>
              <w:rPr>
                <w:u w:val="single"/>
              </w:rPr>
            </w:pPr>
            <w:r w:rsidRPr="00F452E8">
              <w:rPr>
                <w:u w:val="single"/>
              </w:rPr>
              <w:t>E-Mail Readiness</w:t>
            </w:r>
          </w:p>
          <w:p w14:paraId="6F0E5414" w14:textId="3BFD4A68" w:rsidR="00450F91" w:rsidRDefault="00450F91" w:rsidP="00E70078">
            <w:r>
              <w:t>E-mail readiness at the client and server end is one of the largest current obstacles to UA readiness.</w:t>
            </w:r>
          </w:p>
          <w:p w14:paraId="13BC6679" w14:textId="77777777" w:rsidR="00450F91" w:rsidRDefault="00450F91" w:rsidP="00E70078"/>
          <w:p w14:paraId="339499D6" w14:textId="7F1C4E78" w:rsidR="00E70078" w:rsidRDefault="00E70078" w:rsidP="00E70078">
            <w:r>
              <w:t xml:space="preserve">This project will look at the top 50 e-mail clients and server applications and evaluate their </w:t>
            </w:r>
            <w:r w:rsidR="00450F91">
              <w:t xml:space="preserve">UA and </w:t>
            </w:r>
            <w:r>
              <w:t xml:space="preserve">EAI readiness.   </w:t>
            </w:r>
          </w:p>
          <w:p w14:paraId="66DE7C02" w14:textId="77777777" w:rsidR="00E70078" w:rsidRDefault="00E70078" w:rsidP="00E70078"/>
          <w:p w14:paraId="00484DB2" w14:textId="5ABDB7F2" w:rsidR="00E70078" w:rsidRDefault="00E70078" w:rsidP="00E70078">
            <w:r>
              <w:t>Each client or server evaluation is expected to take two</w:t>
            </w:r>
            <w:r w:rsidR="00B55B86">
              <w:t xml:space="preserve"> – four</w:t>
            </w:r>
            <w:r>
              <w:t xml:space="preserve"> hours for a total of </w:t>
            </w:r>
            <w:r w:rsidR="00B55B86">
              <w:t>23</w:t>
            </w:r>
            <w:r>
              <w:t xml:space="preserve"> days.</w:t>
            </w:r>
          </w:p>
          <w:p w14:paraId="70D94787" w14:textId="77777777" w:rsidR="00E70078" w:rsidRDefault="00E70078" w:rsidP="00E70078"/>
          <w:p w14:paraId="5A9A0A24" w14:textId="7466A64E" w:rsidR="00E70078" w:rsidRDefault="00E70078" w:rsidP="00E70078">
            <w:r>
              <w:t>The Wikipedia page on e-mail clients and e-mail server applications</w:t>
            </w:r>
            <w:r w:rsidR="00450F91">
              <w:t xml:space="preserve"> will be the source for applications to test.  This page</w:t>
            </w:r>
            <w:r>
              <w:t xml:space="preserve"> will be updated</w:t>
            </w:r>
            <w:r w:rsidR="00450F91">
              <w:t xml:space="preserve"> with a UA Readiness indicator based on the evaluation.</w:t>
            </w:r>
          </w:p>
          <w:p w14:paraId="2106E344" w14:textId="3D1898E5" w:rsidR="00450F91" w:rsidRDefault="00450F91" w:rsidP="00E70078">
            <w:r>
              <w:br/>
              <w:t xml:space="preserve">The </w:t>
            </w:r>
            <w:proofErr w:type="gramStart"/>
            <w:r>
              <w:t>evaluation criteria will be developed by the Topline Issues Project group in conjunction with the Monitoring and Measurement Group</w:t>
            </w:r>
            <w:proofErr w:type="gramEnd"/>
            <w:r>
              <w:t xml:space="preserve">.  </w:t>
            </w:r>
          </w:p>
          <w:p w14:paraId="34C8A830" w14:textId="77777777" w:rsidR="00AD044D" w:rsidRDefault="00AD044D" w:rsidP="00E70078"/>
          <w:p w14:paraId="10E90E69" w14:textId="22EEB6CF" w:rsidR="00AD044D" w:rsidRDefault="00AD044D" w:rsidP="00E70078">
            <w:r>
              <w:t>Non-compliant applications will be contacted by the Community Outreach group to advise the results of the evaluation and encourage enhancements to become UA and EAI ready.</w:t>
            </w:r>
          </w:p>
          <w:p w14:paraId="3C8CF3FB" w14:textId="77777777" w:rsidR="00E70078" w:rsidRDefault="00E70078" w:rsidP="00E70078"/>
        </w:tc>
        <w:tc>
          <w:tcPr>
            <w:tcW w:w="0" w:type="auto"/>
          </w:tcPr>
          <w:p w14:paraId="0678C897" w14:textId="5C2FF789" w:rsidR="00E70078" w:rsidRDefault="00B55B86">
            <w:r>
              <w:lastRenderedPageBreak/>
              <w:t>$2</w:t>
            </w:r>
            <w:r w:rsidR="00E70078">
              <w:t>3,000</w:t>
            </w:r>
          </w:p>
        </w:tc>
      </w:tr>
      <w:tr w:rsidR="00E70078" w14:paraId="1517225F" w14:textId="77777777" w:rsidTr="00E70078">
        <w:tc>
          <w:tcPr>
            <w:tcW w:w="0" w:type="auto"/>
          </w:tcPr>
          <w:p w14:paraId="302E802B" w14:textId="204974F5" w:rsidR="00E70078" w:rsidRPr="00E70078" w:rsidRDefault="00E70078">
            <w:pPr>
              <w:rPr>
                <w:b/>
              </w:rPr>
            </w:pPr>
            <w:r w:rsidRPr="00E70078">
              <w:rPr>
                <w:b/>
              </w:rPr>
              <w:lastRenderedPageBreak/>
              <w:t>T&amp;T</w:t>
            </w:r>
          </w:p>
        </w:tc>
        <w:tc>
          <w:tcPr>
            <w:tcW w:w="0" w:type="auto"/>
          </w:tcPr>
          <w:p w14:paraId="574CA8EF" w14:textId="77777777" w:rsidR="00E70078" w:rsidRDefault="00E70078" w:rsidP="00E70078">
            <w:r>
              <w:rPr>
                <w:u w:val="single"/>
              </w:rPr>
              <w:t>Programing and scripting languages UA Readiness</w:t>
            </w:r>
          </w:p>
          <w:p w14:paraId="32F9CFA9" w14:textId="77777777" w:rsidR="00E70078" w:rsidRDefault="00E70078" w:rsidP="00E70078">
            <w:r>
              <w:t>This project will look at the top 50 programming and scripting languages and determine if they are UA Ready – meaning they have utilities or library routines that can deal with:</w:t>
            </w:r>
          </w:p>
          <w:p w14:paraId="34A06362" w14:textId="77777777" w:rsidR="00E70078" w:rsidRDefault="00E70078" w:rsidP="00E70078">
            <w:pPr>
              <w:pStyle w:val="ListParagraph"/>
              <w:numPr>
                <w:ilvl w:val="0"/>
                <w:numId w:val="1"/>
              </w:numPr>
            </w:pPr>
            <w:r>
              <w:t>IDNs – storing, display, transforming to and from ASCII</w:t>
            </w:r>
          </w:p>
          <w:p w14:paraId="08116A0A" w14:textId="77777777" w:rsidR="00E70078" w:rsidRDefault="00E70078" w:rsidP="00E70078">
            <w:pPr>
              <w:pStyle w:val="ListParagraph"/>
              <w:numPr>
                <w:ilvl w:val="0"/>
                <w:numId w:val="1"/>
              </w:numPr>
            </w:pPr>
            <w:r>
              <w:t xml:space="preserve">Validation of TLDs </w:t>
            </w:r>
          </w:p>
          <w:p w14:paraId="1F1DC765" w14:textId="77777777" w:rsidR="00E70078" w:rsidRDefault="00E70078" w:rsidP="00E70078"/>
          <w:p w14:paraId="5477254A" w14:textId="77777777" w:rsidR="00E70078" w:rsidRDefault="00E70078" w:rsidP="00E70078">
            <w:r>
              <w:t>Results will be recorded in a Wikipedia page on Programming and Scripting languages.</w:t>
            </w:r>
          </w:p>
          <w:p w14:paraId="79DE592D" w14:textId="77777777" w:rsidR="00E70078" w:rsidRDefault="00E70078" w:rsidP="00E70078"/>
          <w:p w14:paraId="6210169F" w14:textId="5CA02A88" w:rsidR="00E70078" w:rsidRDefault="00E70078" w:rsidP="00E70078">
            <w:r>
              <w:t>Non-compliant programming and scripting languages wi</w:t>
            </w:r>
            <w:r w:rsidR="00AD044D">
              <w:t>ll be subject to further effort – quite possibly through a Hack-a-Thon</w:t>
            </w:r>
          </w:p>
          <w:p w14:paraId="1E40B498" w14:textId="77777777" w:rsidR="00E70078" w:rsidRDefault="00E70078" w:rsidP="00E70078"/>
          <w:p w14:paraId="335CF519" w14:textId="77777777" w:rsidR="00E70078" w:rsidRDefault="00E70078" w:rsidP="00E70078">
            <w:r>
              <w:t>Each programming or scripting language evaluation is expected to take four hours for a total of 25 working days.</w:t>
            </w:r>
          </w:p>
          <w:p w14:paraId="02F7CE50" w14:textId="77777777" w:rsidR="00E70078" w:rsidRDefault="00E70078" w:rsidP="00AD044D"/>
        </w:tc>
        <w:tc>
          <w:tcPr>
            <w:tcW w:w="0" w:type="auto"/>
          </w:tcPr>
          <w:p w14:paraId="77B27A9F" w14:textId="23D051B5" w:rsidR="00E70078" w:rsidRDefault="00E70078">
            <w:r>
              <w:t>$25,000</w:t>
            </w:r>
          </w:p>
        </w:tc>
      </w:tr>
      <w:tr w:rsidR="00E70078" w14:paraId="413C7AF6" w14:textId="77777777" w:rsidTr="00E70078">
        <w:tc>
          <w:tcPr>
            <w:tcW w:w="0" w:type="auto"/>
          </w:tcPr>
          <w:p w14:paraId="70F492EA" w14:textId="77777777" w:rsidR="00E70078" w:rsidRDefault="00AD044D">
            <w:proofErr w:type="spellStart"/>
            <w:r>
              <w:t>Intn’l</w:t>
            </w:r>
            <w:proofErr w:type="spellEnd"/>
          </w:p>
          <w:p w14:paraId="338E639D" w14:textId="71B51D88" w:rsidR="00084D66" w:rsidRDefault="00084D66">
            <w:proofErr w:type="spellStart"/>
            <w:r>
              <w:t>Comms</w:t>
            </w:r>
            <w:proofErr w:type="spellEnd"/>
          </w:p>
        </w:tc>
        <w:tc>
          <w:tcPr>
            <w:tcW w:w="0" w:type="auto"/>
          </w:tcPr>
          <w:p w14:paraId="68175ECD" w14:textId="77777777" w:rsidR="00AD044D" w:rsidRDefault="00AD044D" w:rsidP="00AD044D">
            <w:r>
              <w:t>1.       Interactive guide to EAI ecosystem – This is a web based tool that explains all the layers of the email ecosystem and the necessary changes (RFCs and guidelines, with examples and test cases) to fully adopt EAI end to end. This should be a visual tool available in multiple languages.</w:t>
            </w:r>
          </w:p>
          <w:p w14:paraId="639CDEF9" w14:textId="77777777" w:rsidR="00AD044D" w:rsidRDefault="00AD044D" w:rsidP="00AD044D">
            <w:r>
              <w:t>a.       Goal: To provide a holistic view of the system (layers as well as providers</w:t>
            </w:r>
            <w:proofErr w:type="gramStart"/>
            <w:r>
              <w:t>)  for</w:t>
            </w:r>
            <w:proofErr w:type="gramEnd"/>
            <w:r>
              <w:t xml:space="preserve"> developers of all sizes so that they understand which part of the ecosystem they influence and which parts they need to collaborate with others.</w:t>
            </w:r>
          </w:p>
          <w:p w14:paraId="78905459" w14:textId="1422E401" w:rsidR="00E70078" w:rsidRDefault="00AD044D" w:rsidP="00AD044D">
            <w:r>
              <w:t xml:space="preserve">b.      Budget required for: </w:t>
            </w:r>
            <w:proofErr w:type="spellStart"/>
            <w:r>
              <w:t>i</w:t>
            </w:r>
            <w:proofErr w:type="spellEnd"/>
            <w:r>
              <w:t>) consultant that understand Email and EAI end-to-end and upside down who can draw the ecosystem for us, ii) web designer and developer to program the interface, iii) maintenance</w:t>
            </w:r>
          </w:p>
        </w:tc>
        <w:tc>
          <w:tcPr>
            <w:tcW w:w="0" w:type="auto"/>
          </w:tcPr>
          <w:p w14:paraId="5400E420" w14:textId="77777777" w:rsidR="00E70078" w:rsidRDefault="00E70078"/>
        </w:tc>
      </w:tr>
      <w:tr w:rsidR="00E70078" w14:paraId="4E832D3B" w14:textId="77777777" w:rsidTr="00E70078">
        <w:tc>
          <w:tcPr>
            <w:tcW w:w="0" w:type="auto"/>
          </w:tcPr>
          <w:p w14:paraId="4C3AD46E" w14:textId="77777777" w:rsidR="00E70078" w:rsidRDefault="00AD044D">
            <w:proofErr w:type="spellStart"/>
            <w:r>
              <w:t>Intn’l</w:t>
            </w:r>
            <w:proofErr w:type="spellEnd"/>
          </w:p>
          <w:p w14:paraId="48461951" w14:textId="07F45AB4" w:rsidR="00084D66" w:rsidRDefault="00084D66">
            <w:proofErr w:type="spellStart"/>
            <w:r>
              <w:t>Comms</w:t>
            </w:r>
            <w:proofErr w:type="spellEnd"/>
          </w:p>
        </w:tc>
        <w:tc>
          <w:tcPr>
            <w:tcW w:w="0" w:type="auto"/>
          </w:tcPr>
          <w:p w14:paraId="399D319C" w14:textId="77777777" w:rsidR="00AD044D" w:rsidRDefault="00AD044D" w:rsidP="00AD044D">
            <w:r>
              <w:t xml:space="preserve">A repository for tools and best practices for IDN, IRIs and </w:t>
            </w:r>
            <w:r>
              <w:lastRenderedPageBreak/>
              <w:t xml:space="preserve">EAI. Something like </w:t>
            </w:r>
            <w:proofErr w:type="spellStart"/>
            <w:r>
              <w:t>github</w:t>
            </w:r>
            <w:proofErr w:type="spellEnd"/>
            <w:r>
              <w:t xml:space="preserve"> or something similar.</w:t>
            </w:r>
          </w:p>
          <w:p w14:paraId="5E850A82" w14:textId="77777777" w:rsidR="00AD044D" w:rsidRDefault="00AD044D" w:rsidP="00AD044D">
            <w:r>
              <w:t>a.       Goal: To provide a go-to resources pool for medium to small size developers for all things IDN and EAI. Contributions could come from big players like Microsoft, Google, Verisign, etc.</w:t>
            </w:r>
          </w:p>
          <w:p w14:paraId="44460C1F" w14:textId="30F0F917" w:rsidR="00E70078" w:rsidRDefault="00AD044D" w:rsidP="00AD044D">
            <w:r>
              <w:t xml:space="preserve">b.      Budget required for: </w:t>
            </w:r>
            <w:proofErr w:type="spellStart"/>
            <w:r>
              <w:t>i</w:t>
            </w:r>
            <w:proofErr w:type="spellEnd"/>
            <w:r>
              <w:t>) set up ii) maintenance</w:t>
            </w:r>
          </w:p>
        </w:tc>
        <w:tc>
          <w:tcPr>
            <w:tcW w:w="0" w:type="auto"/>
          </w:tcPr>
          <w:p w14:paraId="4E4BD6FB" w14:textId="77777777" w:rsidR="00E70078" w:rsidRDefault="00E70078"/>
        </w:tc>
      </w:tr>
      <w:tr w:rsidR="00E70078" w14:paraId="06308439" w14:textId="77777777" w:rsidTr="00E70078">
        <w:tc>
          <w:tcPr>
            <w:tcW w:w="0" w:type="auto"/>
          </w:tcPr>
          <w:p w14:paraId="3E0C919D" w14:textId="033B1A17" w:rsidR="00E70078" w:rsidRDefault="00AD044D">
            <w:proofErr w:type="spellStart"/>
            <w:r>
              <w:lastRenderedPageBreak/>
              <w:t>Intn’l</w:t>
            </w:r>
            <w:proofErr w:type="spellEnd"/>
          </w:p>
          <w:p w14:paraId="196B064E" w14:textId="0D64A6F8" w:rsidR="00AD044D" w:rsidRDefault="00AD044D">
            <w:proofErr w:type="spellStart"/>
            <w:r>
              <w:t>Comms</w:t>
            </w:r>
            <w:proofErr w:type="spellEnd"/>
          </w:p>
        </w:tc>
        <w:tc>
          <w:tcPr>
            <w:tcW w:w="0" w:type="auto"/>
          </w:tcPr>
          <w:p w14:paraId="6D012FC7" w14:textId="77777777" w:rsidR="00AD044D" w:rsidRDefault="00AD044D" w:rsidP="00AD044D">
            <w:r>
              <w:t>Promotional video that promotes the value of IDNs from the user standpoint. This video should also address the software developer question: “what is in for me?”</w:t>
            </w:r>
          </w:p>
          <w:p w14:paraId="6192D2E9" w14:textId="77777777" w:rsidR="00AD044D" w:rsidRDefault="00AD044D" w:rsidP="00AD044D">
            <w:r>
              <w:t>a.       Goal: To inspire the software developer community to embrace and adopt universal acceptance and IDNs</w:t>
            </w:r>
          </w:p>
          <w:p w14:paraId="39DD97F5" w14:textId="58B22AF5" w:rsidR="00E70078" w:rsidRDefault="00AD044D" w:rsidP="00AD044D">
            <w:r>
              <w:t>b.      Budget for: production of the video</w:t>
            </w:r>
          </w:p>
        </w:tc>
        <w:tc>
          <w:tcPr>
            <w:tcW w:w="0" w:type="auto"/>
          </w:tcPr>
          <w:p w14:paraId="051B5FA2" w14:textId="77777777" w:rsidR="00E70078" w:rsidRDefault="00E70078"/>
        </w:tc>
      </w:tr>
      <w:tr w:rsidR="00AD044D" w14:paraId="1848505C" w14:textId="77777777" w:rsidTr="00E70078">
        <w:tc>
          <w:tcPr>
            <w:tcW w:w="0" w:type="auto"/>
          </w:tcPr>
          <w:p w14:paraId="3A7E13D6" w14:textId="11CBC4CC" w:rsidR="00AD044D" w:rsidRDefault="00AD044D">
            <w:proofErr w:type="spellStart"/>
            <w:r>
              <w:t>Intn’l</w:t>
            </w:r>
            <w:proofErr w:type="spellEnd"/>
          </w:p>
          <w:p w14:paraId="31C5B627" w14:textId="51498799" w:rsidR="00AD044D" w:rsidRDefault="00AD044D">
            <w:proofErr w:type="spellStart"/>
            <w:r>
              <w:t>Comms</w:t>
            </w:r>
            <w:proofErr w:type="spellEnd"/>
          </w:p>
        </w:tc>
        <w:tc>
          <w:tcPr>
            <w:tcW w:w="0" w:type="auto"/>
          </w:tcPr>
          <w:p w14:paraId="08E9BE41" w14:textId="273B5E85" w:rsidR="00AD044D" w:rsidRDefault="00AD044D" w:rsidP="00084D66">
            <w:r w:rsidRPr="00AD044D">
              <w:t xml:space="preserve">Stock pictures representing IDN-issues for presentation purposes (for example: Chinese user trying to make </w:t>
            </w:r>
            <w:r w:rsidR="00084D66">
              <w:t>sense</w:t>
            </w:r>
            <w:r w:rsidRPr="00AD044D">
              <w:t xml:space="preserve"> of the Latin alphabet, users using or typing IDNs in browsers, apps, </w:t>
            </w:r>
            <w:proofErr w:type="spellStart"/>
            <w:r w:rsidRPr="00AD044D">
              <w:t>etc</w:t>
            </w:r>
            <w:proofErr w:type="spellEnd"/>
            <w:r w:rsidRPr="00AD044D">
              <w:t>)</w:t>
            </w:r>
          </w:p>
        </w:tc>
        <w:tc>
          <w:tcPr>
            <w:tcW w:w="0" w:type="auto"/>
          </w:tcPr>
          <w:p w14:paraId="0A346D0D" w14:textId="77777777" w:rsidR="00AD044D" w:rsidRDefault="00AD044D"/>
        </w:tc>
      </w:tr>
      <w:tr w:rsidR="009D7053" w14:paraId="3F8E3287" w14:textId="77777777" w:rsidTr="00E70078">
        <w:tc>
          <w:tcPr>
            <w:tcW w:w="0" w:type="auto"/>
          </w:tcPr>
          <w:p w14:paraId="6461A80F" w14:textId="321DBB79" w:rsidR="009D7053" w:rsidRDefault="009D7053">
            <w:proofErr w:type="spellStart"/>
            <w:r>
              <w:t>Intn’l</w:t>
            </w:r>
            <w:proofErr w:type="spellEnd"/>
          </w:p>
        </w:tc>
        <w:tc>
          <w:tcPr>
            <w:tcW w:w="0" w:type="auto"/>
          </w:tcPr>
          <w:p w14:paraId="283ACEE6" w14:textId="77777777" w:rsidR="009D7053" w:rsidRDefault="009D7053" w:rsidP="009D7053">
            <w:r>
              <w:t>1. Testing budget</w:t>
            </w:r>
          </w:p>
          <w:p w14:paraId="732012B6" w14:textId="77777777" w:rsidR="009D7053" w:rsidRDefault="009D7053" w:rsidP="009D7053">
            <w:r>
              <w:t xml:space="preserve">    a. </w:t>
            </w:r>
            <w:proofErr w:type="gramStart"/>
            <w:r>
              <w:t>subcategory</w:t>
            </w:r>
            <w:proofErr w:type="gramEnd"/>
            <w:r>
              <w:t xml:space="preserve"> Testing tools, equipment &amp; services (hosting, domain names...)    </w:t>
            </w:r>
          </w:p>
          <w:p w14:paraId="7099E280" w14:textId="208C9CB3" w:rsidR="009D7053" w:rsidRDefault="009D7053" w:rsidP="009D7053">
            <w:r>
              <w:t xml:space="preserve">    Rationale: from time to time, we will have a need arrange some tests on existing technical solutions and check where are the issues that we need to solve. Also, maybe we will have some expenses for developing tools, management tools ... </w:t>
            </w:r>
          </w:p>
          <w:p w14:paraId="5A933059" w14:textId="77777777" w:rsidR="009D7053" w:rsidRDefault="009D7053" w:rsidP="009D7053">
            <w:r>
              <w:t xml:space="preserve">    b. </w:t>
            </w:r>
            <w:proofErr w:type="gramStart"/>
            <w:r>
              <w:t>subcategory</w:t>
            </w:r>
            <w:proofErr w:type="gramEnd"/>
            <w:r>
              <w:t xml:space="preserve"> Collaboration tools</w:t>
            </w:r>
          </w:p>
          <w:p w14:paraId="11792A82" w14:textId="18CCC6B6" w:rsidR="009D7053" w:rsidRPr="00AD044D" w:rsidRDefault="009D7053" w:rsidP="009D7053">
            <w:r>
              <w:t xml:space="preserve">    Rationale: We were talking about collaboration tool or something similar, and I think that this will have huge impact on the measurement of our work. This </w:t>
            </w:r>
            <w:proofErr w:type="spellStart"/>
            <w:r>
              <w:t>collab</w:t>
            </w:r>
            <w:proofErr w:type="spellEnd"/>
            <w:r>
              <w:t xml:space="preserve">. </w:t>
            </w:r>
            <w:proofErr w:type="gramStart"/>
            <w:r>
              <w:t>tool</w:t>
            </w:r>
            <w:proofErr w:type="gramEnd"/>
            <w:r>
              <w:t xml:space="preserve"> will be used by other Project Groups so...</w:t>
            </w:r>
          </w:p>
        </w:tc>
        <w:tc>
          <w:tcPr>
            <w:tcW w:w="0" w:type="auto"/>
          </w:tcPr>
          <w:p w14:paraId="706075A5" w14:textId="77777777" w:rsidR="009D7053" w:rsidRDefault="009D7053"/>
        </w:tc>
      </w:tr>
      <w:tr w:rsidR="009D7053" w14:paraId="09052C90" w14:textId="77777777" w:rsidTr="00E70078">
        <w:tc>
          <w:tcPr>
            <w:tcW w:w="0" w:type="auto"/>
          </w:tcPr>
          <w:p w14:paraId="22865F55" w14:textId="77777777" w:rsidR="009D7053" w:rsidRDefault="009D7053"/>
        </w:tc>
        <w:tc>
          <w:tcPr>
            <w:tcW w:w="0" w:type="auto"/>
          </w:tcPr>
          <w:p w14:paraId="04D42474" w14:textId="77777777" w:rsidR="009D7053" w:rsidRDefault="009D7053" w:rsidP="009D7053">
            <w:r>
              <w:t>2. Education, research and promotion</w:t>
            </w:r>
          </w:p>
          <w:p w14:paraId="59872079" w14:textId="77777777" w:rsidR="009D7053" w:rsidRDefault="009D7053" w:rsidP="009D7053">
            <w:r>
              <w:t xml:space="preserve">    a. </w:t>
            </w:r>
            <w:proofErr w:type="gramStart"/>
            <w:r>
              <w:t>subcategory</w:t>
            </w:r>
            <w:proofErr w:type="gramEnd"/>
            <w:r>
              <w:t xml:space="preserve"> Travel funding    </w:t>
            </w:r>
          </w:p>
          <w:p w14:paraId="00016946" w14:textId="2B3F6653" w:rsidR="009D7053" w:rsidRDefault="009D7053" w:rsidP="009D7053">
            <w:r>
              <w:t xml:space="preserve">    Rationale: we were talking about that, and I am not only suggesting that we attend ICANN meetings. We must have travel funding also for other meetings, where </w:t>
            </w:r>
            <w:r w:rsidR="00B55B86">
              <w:t xml:space="preserve">we will meet our target </w:t>
            </w:r>
            <w:r>
              <w:t>audience and talk with them (W3C, IETF meetings...).</w:t>
            </w:r>
          </w:p>
          <w:p w14:paraId="513042F3" w14:textId="77777777" w:rsidR="009D7053" w:rsidRDefault="009D7053" w:rsidP="009D7053">
            <w:r>
              <w:t xml:space="preserve">    b. </w:t>
            </w:r>
            <w:proofErr w:type="gramStart"/>
            <w:r>
              <w:t>subcategory</w:t>
            </w:r>
            <w:proofErr w:type="gramEnd"/>
            <w:r>
              <w:t xml:space="preserve"> Educational and Promotional tools, presentations and site</w:t>
            </w:r>
          </w:p>
          <w:p w14:paraId="68B5AF8D" w14:textId="53759013" w:rsidR="009D7053" w:rsidRDefault="009D7053" w:rsidP="009D7053">
            <w:r>
              <w:t xml:space="preserve">    Rationale: as You suggested various tools for educational purposes (from point 1. through the point 4.), we need to show to our target audience where they are </w:t>
            </w:r>
            <w:r w:rsidR="00B55B86">
              <w:t xml:space="preserve">and what is needed from </w:t>
            </w:r>
            <w:r>
              <w:t>them.</w:t>
            </w:r>
          </w:p>
          <w:p w14:paraId="70487685" w14:textId="0AE94D88" w:rsidR="009D7053" w:rsidRDefault="009D7053" w:rsidP="009D7053">
            <w:r>
              <w:t xml:space="preserve">        Suggestion I: maybe we can have a full site for this educational tools, one place where we could pack all of those things, and it could be (or must be?) under ICANN domain name and linked from ICANN main site.</w:t>
            </w:r>
          </w:p>
          <w:p w14:paraId="0799A83E" w14:textId="3C3682CC" w:rsidR="009D7053" w:rsidRDefault="009D7053" w:rsidP="009D7053">
            <w:r>
              <w:t xml:space="preserve">        </w:t>
            </w:r>
            <w:proofErr w:type="gramStart"/>
            <w:r>
              <w:t>goal</w:t>
            </w:r>
            <w:proofErr w:type="gramEnd"/>
            <w:r>
              <w:t xml:space="preserve">: To have everything on one place, to cover everybody, from beginners to advanced users. Maybe this could be a case for the whole UASG. But, on this site, we </w:t>
            </w:r>
            <w:r w:rsidR="00B55B86">
              <w:lastRenderedPageBreak/>
              <w:t xml:space="preserve">must interact with every </w:t>
            </w:r>
            <w:r>
              <w:t>user, so there must be a simple form "tell us about Your IDN problem"</w:t>
            </w:r>
          </w:p>
          <w:p w14:paraId="2CD80554" w14:textId="77777777" w:rsidR="009D7053" w:rsidRDefault="009D7053" w:rsidP="009D7053">
            <w:r>
              <w:t xml:space="preserve">        </w:t>
            </w:r>
            <w:proofErr w:type="gramStart"/>
            <w:r>
              <w:t>budget</w:t>
            </w:r>
            <w:proofErr w:type="gramEnd"/>
            <w:r>
              <w:t xml:space="preserve">: a) creating the full concept of the web site, b) web design and developing, c) maintenance </w:t>
            </w:r>
          </w:p>
          <w:p w14:paraId="765120D5" w14:textId="77777777" w:rsidR="009D7053" w:rsidRDefault="009D7053" w:rsidP="009D7053">
            <w:r>
              <w:t xml:space="preserve">        Suggestion II: "How to solve IDN issues" </w:t>
            </w:r>
            <w:proofErr w:type="spellStart"/>
            <w:r>
              <w:t>Infographics</w:t>
            </w:r>
            <w:proofErr w:type="spellEnd"/>
            <w:r>
              <w:t xml:space="preserve"> for end users - how to set up IDN email, how to setup browsers to see full IDN domain name, security issues...</w:t>
            </w:r>
          </w:p>
          <w:p w14:paraId="216589DC" w14:textId="77777777" w:rsidR="009D7053" w:rsidRDefault="009D7053" w:rsidP="009D7053">
            <w:r>
              <w:t xml:space="preserve">        </w:t>
            </w:r>
            <w:proofErr w:type="gramStart"/>
            <w:r>
              <w:t>goal</w:t>
            </w:r>
            <w:proofErr w:type="gramEnd"/>
            <w:r>
              <w:t>: to have some creative solutions for the presentations and education of our target groups</w:t>
            </w:r>
          </w:p>
          <w:p w14:paraId="4F6687C6" w14:textId="77777777" w:rsidR="009D7053" w:rsidRDefault="009D7053" w:rsidP="009D7053">
            <w:r>
              <w:t xml:space="preserve">        </w:t>
            </w:r>
            <w:proofErr w:type="gramStart"/>
            <w:r>
              <w:t>budget</w:t>
            </w:r>
            <w:proofErr w:type="gramEnd"/>
            <w:r>
              <w:t>: designer (maybe we can use ICANN designers or agency, I am not familiar how ICANN is creating graphics)</w:t>
            </w:r>
          </w:p>
          <w:p w14:paraId="2B73A261" w14:textId="77777777" w:rsidR="009D7053" w:rsidRDefault="009D7053" w:rsidP="009D7053">
            <w:r>
              <w:t xml:space="preserve">    c. </w:t>
            </w:r>
            <w:proofErr w:type="gramStart"/>
            <w:r>
              <w:t>subcategory</w:t>
            </w:r>
            <w:proofErr w:type="gramEnd"/>
            <w:r>
              <w:t xml:space="preserve"> Educational &amp; tech events</w:t>
            </w:r>
          </w:p>
          <w:p w14:paraId="1803F8AD" w14:textId="2BA5E70A" w:rsidR="009D7053" w:rsidRDefault="009D7053" w:rsidP="009D7053"/>
        </w:tc>
        <w:tc>
          <w:tcPr>
            <w:tcW w:w="0" w:type="auto"/>
          </w:tcPr>
          <w:p w14:paraId="6B67D28C" w14:textId="77777777" w:rsidR="009D7053" w:rsidRDefault="009D7053"/>
        </w:tc>
      </w:tr>
      <w:tr w:rsidR="009D7053" w14:paraId="47C5F4A0" w14:textId="77777777" w:rsidTr="00E70078">
        <w:tc>
          <w:tcPr>
            <w:tcW w:w="0" w:type="auto"/>
          </w:tcPr>
          <w:p w14:paraId="2E9C7B7B" w14:textId="4439E2FE" w:rsidR="009D7053" w:rsidRDefault="00084D66">
            <w:proofErr w:type="spellStart"/>
            <w:r>
              <w:lastRenderedPageBreak/>
              <w:t>Intn’l</w:t>
            </w:r>
            <w:proofErr w:type="spellEnd"/>
          </w:p>
          <w:p w14:paraId="2A75685C" w14:textId="7BC604C9" w:rsidR="00084D66" w:rsidRDefault="00084D66">
            <w:proofErr w:type="spellStart"/>
            <w:r>
              <w:t>Comms</w:t>
            </w:r>
            <w:proofErr w:type="spellEnd"/>
          </w:p>
        </w:tc>
        <w:tc>
          <w:tcPr>
            <w:tcW w:w="0" w:type="auto"/>
          </w:tcPr>
          <w:p w14:paraId="1DB0A4E3" w14:textId="27A6C6AB" w:rsidR="009D7053" w:rsidRDefault="009D7053" w:rsidP="009D7053">
            <w:r>
              <w:t xml:space="preserve">3. Other </w:t>
            </w:r>
            <w:r w:rsidR="00084D66">
              <w:t>expenses</w:t>
            </w:r>
            <w:r>
              <w:t xml:space="preserve"> &amp; reserves</w:t>
            </w:r>
          </w:p>
          <w:p w14:paraId="1CB25E60" w14:textId="77777777" w:rsidR="009D7053" w:rsidRDefault="009D7053" w:rsidP="009D7053">
            <w:r>
              <w:t xml:space="preserve">    a. </w:t>
            </w:r>
            <w:proofErr w:type="gramStart"/>
            <w:r>
              <w:t>subcategory</w:t>
            </w:r>
            <w:proofErr w:type="gramEnd"/>
            <w:r>
              <w:t xml:space="preserve"> Translating</w:t>
            </w:r>
          </w:p>
          <w:p w14:paraId="555BDB33" w14:textId="3C909DF5" w:rsidR="009D7053" w:rsidRDefault="009D7053" w:rsidP="009D7053">
            <w:r>
              <w:t xml:space="preserve">    Rationale: every material that came out from our work, and is intended to be for wide(r) audience, should be in many languages. We need translation, and I </w:t>
            </w:r>
            <w:r w:rsidR="00B55B86">
              <w:t xml:space="preserve">don't know if this can be done </w:t>
            </w:r>
            <w:r>
              <w:t>with ICANN stuff.</w:t>
            </w:r>
          </w:p>
          <w:p w14:paraId="3FF51131" w14:textId="77777777" w:rsidR="009D7053" w:rsidRDefault="009D7053" w:rsidP="009D7053">
            <w:r>
              <w:t xml:space="preserve">    b. </w:t>
            </w:r>
            <w:proofErr w:type="gramStart"/>
            <w:r>
              <w:t>subcategory</w:t>
            </w:r>
            <w:proofErr w:type="gramEnd"/>
            <w:r>
              <w:t xml:space="preserve"> Reserves</w:t>
            </w:r>
          </w:p>
          <w:p w14:paraId="75315B73" w14:textId="37A1513A" w:rsidR="009D7053" w:rsidRDefault="009D7053" w:rsidP="009D7053">
            <w:r>
              <w:t xml:space="preserve">    Rationale: we must have some small reserve in budget for something that we didn't planed</w:t>
            </w:r>
          </w:p>
        </w:tc>
        <w:tc>
          <w:tcPr>
            <w:tcW w:w="0" w:type="auto"/>
          </w:tcPr>
          <w:p w14:paraId="018E364E" w14:textId="77777777" w:rsidR="009D7053" w:rsidRDefault="009D7053"/>
        </w:tc>
      </w:tr>
    </w:tbl>
    <w:p w14:paraId="226381EF" w14:textId="77777777" w:rsidR="00046C58" w:rsidRDefault="00046C58"/>
    <w:p w14:paraId="5D79BA8C" w14:textId="77777777" w:rsidR="00046C58" w:rsidRDefault="00046C58"/>
    <w:p w14:paraId="21F67F5A" w14:textId="77777777" w:rsidR="00046C58" w:rsidRDefault="00046C58"/>
    <w:p w14:paraId="287FF2AA" w14:textId="77777777" w:rsidR="00CE4441" w:rsidRDefault="00CE4441"/>
    <w:p w14:paraId="4B19EAAE" w14:textId="77777777" w:rsidR="00F452E8" w:rsidRDefault="00F452E8"/>
    <w:p w14:paraId="6FB42935" w14:textId="77777777" w:rsidR="00F452E8" w:rsidRDefault="00F452E8"/>
    <w:p w14:paraId="4D9FD280" w14:textId="77777777" w:rsidR="00F452E8" w:rsidRDefault="00F452E8" w:rsidP="00F452E8"/>
    <w:p w14:paraId="075B62C1" w14:textId="77777777" w:rsidR="00F452E8" w:rsidRPr="00F452E8" w:rsidRDefault="00F452E8" w:rsidP="00F452E8"/>
    <w:sectPr w:rsidR="00F452E8" w:rsidRPr="00F452E8" w:rsidSect="00C76D23">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5DDD4E" w14:textId="77777777" w:rsidR="00084D66" w:rsidRDefault="00084D66" w:rsidP="00CE4441">
      <w:r>
        <w:separator/>
      </w:r>
    </w:p>
  </w:endnote>
  <w:endnote w:type="continuationSeparator" w:id="0">
    <w:p w14:paraId="61DE5743" w14:textId="77777777" w:rsidR="00084D66" w:rsidRDefault="00084D66" w:rsidP="00CE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CCA460F" w14:textId="77777777" w:rsidR="00084D66" w:rsidRDefault="00084D6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6AF403A" w14:textId="77777777" w:rsidR="00084D66" w:rsidRDefault="00084D6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AB5AF6C" w14:textId="77777777" w:rsidR="00084D66" w:rsidRDefault="00084D6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7D950" w14:textId="77777777" w:rsidR="00084D66" w:rsidRDefault="00084D66" w:rsidP="00CE4441">
      <w:r>
        <w:separator/>
      </w:r>
    </w:p>
  </w:footnote>
  <w:footnote w:type="continuationSeparator" w:id="0">
    <w:p w14:paraId="26367F47" w14:textId="77777777" w:rsidR="00084D66" w:rsidRDefault="00084D66" w:rsidP="00CE44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F34F771" w14:textId="77777777" w:rsidR="00084D66" w:rsidRDefault="00084D66">
    <w:pPr>
      <w:pStyle w:val="Header"/>
    </w:pPr>
    <w:r>
      <w:rPr>
        <w:noProof/>
      </w:rPr>
      <w:pict w14:anchorId="24A0008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38.8pt;height:146.25pt;rotation:315;z-index:-251655168;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6CC5A8A" w14:textId="77777777" w:rsidR="00084D66" w:rsidRDefault="00084D66">
    <w:pPr>
      <w:pStyle w:val="Header"/>
    </w:pPr>
    <w:r>
      <w:rPr>
        <w:noProof/>
      </w:rPr>
      <w:pict w14:anchorId="2940930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38.8pt;height:146.25pt;rotation:315;z-index:-251657216;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94EFC2C" w14:textId="77777777" w:rsidR="00084D66" w:rsidRDefault="00084D66">
    <w:pPr>
      <w:pStyle w:val="Header"/>
    </w:pPr>
    <w:r>
      <w:rPr>
        <w:noProof/>
      </w:rPr>
      <w:pict w14:anchorId="2D5573E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38.8pt;height:146.25pt;rotation:315;z-index:-251653120;mso-wrap-edited:f;mso-position-horizontal:center;mso-position-horizontal-relative:margin;mso-position-vertical:center;mso-position-vertical-relative:margin" wrapcoords="21267 4873 13919 4984 14326 6646 14289 11409 11815 5095 11409 4209 11187 4763 10153 11630 8196 5981 7384 4098 7052 4873 5095 4984 5058 5316 5464 7643 5464 9969 3581 6092 3138 5206 2141 4873 369 4873 332 5095 664 8086 775 8640 738 15840 369 16947 553 17501 2141 17612 2806 17169 3433 16615 3876 15396 4098 15950 5353 17723 5501 17612 6239 17501 6609 17390 6609 16947 6239 14953 6239 12406 7458 15950 8529 18276 8824 17612 10449 17501 10633 17390 10633 16947 10338 14732 12036 17723 13476 17501 13550 17058 13550 16726 14436 18055 14695 17612 15433 17501 15618 17390 15101 13956 15175 11741 15359 12073 16467 13403 16504 13181 18756 17612 19643 17501 19901 17723 20270 17501 20344 17169 19901 13292 19975 5981 21046 8307 21304 8529 21415 7864 21415 5427 21267 4873"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0C19"/>
    <w:multiLevelType w:val="hybridMultilevel"/>
    <w:tmpl w:val="0DA4991C"/>
    <w:lvl w:ilvl="0" w:tplc="E2C43434">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483ECF"/>
    <w:multiLevelType w:val="hybridMultilevel"/>
    <w:tmpl w:val="8406611C"/>
    <w:lvl w:ilvl="0" w:tplc="E2C43434">
      <w:start w:val="201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E77860"/>
    <w:multiLevelType w:val="hybridMultilevel"/>
    <w:tmpl w:val="9470099C"/>
    <w:lvl w:ilvl="0" w:tplc="E2C43434">
      <w:start w:val="5"/>
      <w:numFmt w:val="bullet"/>
      <w:lvlText w:val="-"/>
      <w:lvlJc w:val="left"/>
      <w:pPr>
        <w:ind w:left="360" w:hanging="360"/>
      </w:pPr>
      <w:rPr>
        <w:rFonts w:ascii="Cambria" w:eastAsiaTheme="minorEastAsia" w:hAnsi="Cambria"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103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C58"/>
    <w:rsid w:val="00046C58"/>
    <w:rsid w:val="00084D66"/>
    <w:rsid w:val="00450F91"/>
    <w:rsid w:val="004A6CF1"/>
    <w:rsid w:val="00581ED1"/>
    <w:rsid w:val="00944239"/>
    <w:rsid w:val="009D7053"/>
    <w:rsid w:val="00AD044D"/>
    <w:rsid w:val="00B55B86"/>
    <w:rsid w:val="00C76D23"/>
    <w:rsid w:val="00CE4441"/>
    <w:rsid w:val="00E70078"/>
    <w:rsid w:val="00F05EBA"/>
    <w:rsid w:val="00F45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6E44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441"/>
    <w:pPr>
      <w:tabs>
        <w:tab w:val="center" w:pos="4320"/>
        <w:tab w:val="right" w:pos="8640"/>
      </w:tabs>
    </w:pPr>
  </w:style>
  <w:style w:type="character" w:customStyle="1" w:styleId="HeaderChar">
    <w:name w:val="Header Char"/>
    <w:basedOn w:val="DefaultParagraphFont"/>
    <w:link w:val="Header"/>
    <w:uiPriority w:val="99"/>
    <w:rsid w:val="00CE4441"/>
  </w:style>
  <w:style w:type="paragraph" w:styleId="Footer">
    <w:name w:val="footer"/>
    <w:basedOn w:val="Normal"/>
    <w:link w:val="FooterChar"/>
    <w:uiPriority w:val="99"/>
    <w:unhideWhenUsed/>
    <w:rsid w:val="00CE4441"/>
    <w:pPr>
      <w:tabs>
        <w:tab w:val="center" w:pos="4320"/>
        <w:tab w:val="right" w:pos="8640"/>
      </w:tabs>
    </w:pPr>
  </w:style>
  <w:style w:type="character" w:customStyle="1" w:styleId="FooterChar">
    <w:name w:val="Footer Char"/>
    <w:basedOn w:val="DefaultParagraphFont"/>
    <w:link w:val="Footer"/>
    <w:uiPriority w:val="99"/>
    <w:rsid w:val="00CE4441"/>
  </w:style>
  <w:style w:type="paragraph" w:styleId="ListParagraph">
    <w:name w:val="List Paragraph"/>
    <w:basedOn w:val="Normal"/>
    <w:uiPriority w:val="34"/>
    <w:qFormat/>
    <w:rsid w:val="00F452E8"/>
    <w:pPr>
      <w:ind w:left="720"/>
      <w:contextualSpacing/>
    </w:pPr>
  </w:style>
  <w:style w:type="table" w:styleId="TableGrid">
    <w:name w:val="Table Grid"/>
    <w:basedOn w:val="TableNormal"/>
    <w:uiPriority w:val="59"/>
    <w:rsid w:val="00E700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4441"/>
    <w:pPr>
      <w:tabs>
        <w:tab w:val="center" w:pos="4320"/>
        <w:tab w:val="right" w:pos="8640"/>
      </w:tabs>
    </w:pPr>
  </w:style>
  <w:style w:type="character" w:customStyle="1" w:styleId="HeaderChar">
    <w:name w:val="Header Char"/>
    <w:basedOn w:val="DefaultParagraphFont"/>
    <w:link w:val="Header"/>
    <w:uiPriority w:val="99"/>
    <w:rsid w:val="00CE4441"/>
  </w:style>
  <w:style w:type="paragraph" w:styleId="Footer">
    <w:name w:val="footer"/>
    <w:basedOn w:val="Normal"/>
    <w:link w:val="FooterChar"/>
    <w:uiPriority w:val="99"/>
    <w:unhideWhenUsed/>
    <w:rsid w:val="00CE4441"/>
    <w:pPr>
      <w:tabs>
        <w:tab w:val="center" w:pos="4320"/>
        <w:tab w:val="right" w:pos="8640"/>
      </w:tabs>
    </w:pPr>
  </w:style>
  <w:style w:type="character" w:customStyle="1" w:styleId="FooterChar">
    <w:name w:val="Footer Char"/>
    <w:basedOn w:val="DefaultParagraphFont"/>
    <w:link w:val="Footer"/>
    <w:uiPriority w:val="99"/>
    <w:rsid w:val="00CE4441"/>
  </w:style>
  <w:style w:type="paragraph" w:styleId="ListParagraph">
    <w:name w:val="List Paragraph"/>
    <w:basedOn w:val="Normal"/>
    <w:uiPriority w:val="34"/>
    <w:qFormat/>
    <w:rsid w:val="00F452E8"/>
    <w:pPr>
      <w:ind w:left="720"/>
      <w:contextualSpacing/>
    </w:pPr>
  </w:style>
  <w:style w:type="table" w:styleId="TableGrid">
    <w:name w:val="Table Grid"/>
    <w:basedOn w:val="TableNormal"/>
    <w:uiPriority w:val="59"/>
    <w:rsid w:val="00E700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1393</Words>
  <Characters>7941</Characters>
  <Application>Microsoft Macintosh Word</Application>
  <DocSecurity>0</DocSecurity>
  <Lines>66</Lines>
  <Paragraphs>18</Paragraphs>
  <ScaleCrop>false</ScaleCrop>
  <Company/>
  <LinksUpToDate>false</LinksUpToDate>
  <CharactersWithSpaces>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Hollander</dc:creator>
  <cp:keywords/>
  <dc:description/>
  <cp:lastModifiedBy>Don Hollander</cp:lastModifiedBy>
  <cp:revision>2</cp:revision>
  <cp:lastPrinted>2015-05-15T08:14:00Z</cp:lastPrinted>
  <dcterms:created xsi:type="dcterms:W3CDTF">2015-05-15T09:18:00Z</dcterms:created>
  <dcterms:modified xsi:type="dcterms:W3CDTF">2015-05-15T09:18:00Z</dcterms:modified>
</cp:coreProperties>
</file>